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720"/>
        <w:gridCol w:w="631"/>
        <w:gridCol w:w="374"/>
        <w:gridCol w:w="1321"/>
        <w:gridCol w:w="960"/>
        <w:gridCol w:w="1110"/>
        <w:gridCol w:w="1005"/>
        <w:gridCol w:w="870"/>
        <w:gridCol w:w="2371"/>
      </w:tblGrid>
      <w:tr w:rsidR="00B42516" w:rsidTr="006B3F3D">
        <w:trPr>
          <w:trHeight w:val="1167"/>
          <w:jc w:val="center"/>
        </w:trPr>
        <w:tc>
          <w:tcPr>
            <w:tcW w:w="9362" w:type="dxa"/>
            <w:gridSpan w:val="9"/>
            <w:vAlign w:val="center"/>
          </w:tcPr>
          <w:p w:rsidR="00B42516" w:rsidRDefault="00B42516" w:rsidP="006B3F3D">
            <w:pPr>
              <w:autoSpaceDN w:val="0"/>
              <w:jc w:val="left"/>
              <w:textAlignment w:val="center"/>
              <w:rPr>
                <w:rFonts w:ascii="黑体" w:eastAsia="黑体" w:hAnsi="宋体" w:hint="eastAsia"/>
                <w:color w:val="000000"/>
                <w:szCs w:val="32"/>
              </w:rPr>
            </w:pPr>
            <w:r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附件1</w:t>
            </w:r>
          </w:p>
          <w:p w:rsidR="00B42516" w:rsidRDefault="00B42516" w:rsidP="006B3F3D">
            <w:pPr>
              <w:autoSpaceDN w:val="0"/>
              <w:jc w:val="center"/>
              <w:textAlignment w:val="center"/>
              <w:rPr>
                <w:rFonts w:ascii="华文中宋" w:hAnsi="宋体"/>
                <w:color w:val="000000"/>
              </w:rPr>
            </w:pPr>
            <w:r>
              <w:rPr>
                <w:rFonts w:ascii="方正小标宋简体" w:eastAsia="方正小标宋简体" w:hAnsi="宋体" w:hint="eastAsia"/>
                <w:color w:val="000000"/>
                <w:sz w:val="44"/>
                <w:szCs w:val="44"/>
              </w:rPr>
              <w:t>福建最美古树群调查及评分表</w:t>
            </w:r>
          </w:p>
        </w:tc>
      </w:tr>
      <w:tr w:rsidR="00B42516" w:rsidTr="006B3F3D">
        <w:trPr>
          <w:trHeight w:val="510"/>
          <w:jc w:val="center"/>
        </w:trPr>
        <w:tc>
          <w:tcPr>
            <w:tcW w:w="9362" w:type="dxa"/>
            <w:gridSpan w:val="9"/>
            <w:tcBorders>
              <w:bottom w:val="single" w:sz="4" w:space="0" w:color="000000"/>
            </w:tcBorders>
            <w:vAlign w:val="center"/>
          </w:tcPr>
          <w:p w:rsidR="00B42516" w:rsidRDefault="00B42516" w:rsidP="006B3F3D">
            <w:pPr>
              <w:tabs>
                <w:tab w:val="left" w:pos="7500"/>
              </w:tabs>
              <w:autoSpaceDN w:val="0"/>
              <w:jc w:val="left"/>
              <w:textAlignment w:val="center"/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  <w:t xml:space="preserve">　</w:t>
            </w:r>
          </w:p>
          <w:p w:rsidR="00B42516" w:rsidRDefault="00B42516" w:rsidP="006B3F3D">
            <w:pPr>
              <w:tabs>
                <w:tab w:val="left" w:pos="7500"/>
              </w:tabs>
              <w:autoSpaceDN w:val="0"/>
              <w:jc w:val="left"/>
              <w:textAlignment w:val="center"/>
              <w:rPr>
                <w:rFonts w:ascii="宋体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  <w:t xml:space="preserve">　古树群</w:t>
            </w:r>
            <w:r>
              <w:rPr>
                <w:rFonts w:ascii="宋体" w:eastAsia="仿宋_GB2312" w:hAnsi="宋体"/>
                <w:b/>
                <w:color w:val="000000"/>
                <w:sz w:val="22"/>
                <w:szCs w:val="24"/>
              </w:rPr>
              <w:t>序号：</w:t>
            </w:r>
            <w:r>
              <w:rPr>
                <w:rFonts w:ascii="宋体" w:eastAsia="仿宋_GB2312" w:hAnsi="宋体"/>
                <w:b/>
                <w:color w:val="000000"/>
                <w:sz w:val="22"/>
                <w:szCs w:val="24"/>
              </w:rPr>
              <w:t xml:space="preserve">                    </w:t>
            </w:r>
            <w:r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  <w:t xml:space="preserve">　　</w:t>
            </w:r>
            <w:r>
              <w:rPr>
                <w:rFonts w:ascii="宋体" w:eastAsia="仿宋_GB2312" w:hAnsi="宋体"/>
                <w:b/>
                <w:color w:val="000000"/>
                <w:sz w:val="22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  <w:t xml:space="preserve">　</w:t>
            </w:r>
            <w:r>
              <w:rPr>
                <w:rFonts w:ascii="宋体" w:eastAsia="仿宋_GB2312" w:hAnsi="宋体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b/>
                <w:color w:val="000000"/>
                <w:sz w:val="22"/>
                <w:szCs w:val="24"/>
              </w:rPr>
              <w:t>数据库中编号：</w:t>
            </w:r>
          </w:p>
        </w:tc>
      </w:tr>
      <w:tr w:rsidR="00B42516" w:rsidTr="006B3F3D">
        <w:trPr>
          <w:trHeight w:val="1160"/>
          <w:jc w:val="center"/>
        </w:trPr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古树群位置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textAlignment w:val="center"/>
              <w:rPr>
                <w:rFonts w:ascii="宋体" w:hAnsi="宋体"/>
                <w:b/>
                <w:color w:val="000000"/>
                <w:sz w:val="20"/>
                <w:u w:val="single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  <w:u w:val="single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  <w:u w:val="single"/>
              </w:rPr>
              <w:t xml:space="preserve">　　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县（市、区）</w:t>
            </w:r>
            <w:proofErr w:type="gramStart"/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  <w:u w:val="single"/>
              </w:rPr>
              <w:t xml:space="preserve">　　　　</w:t>
            </w:r>
            <w:proofErr w:type="gramEnd"/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乡镇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（街道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）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  <w:u w:val="single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  <w:u w:val="single"/>
              </w:rPr>
              <w:t xml:space="preserve">　　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村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（社区）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，</w:t>
            </w:r>
            <w:proofErr w:type="gramStart"/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 xml:space="preserve">　　　　</w:t>
            </w:r>
            <w:proofErr w:type="gramEnd"/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小地名：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  <w:u w:val="single"/>
              </w:rPr>
              <w:t xml:space="preserve">     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  <w:u w:val="single"/>
              </w:rPr>
              <w:t xml:space="preserve">　　　　　　　</w:t>
            </w: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  <w:u w:val="single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评分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eastAsia="仿宋_GB2312" w:hAnsi="宋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0"/>
                <w:szCs w:val="24"/>
              </w:rPr>
              <w:t>标准说明</w:t>
            </w:r>
          </w:p>
        </w:tc>
      </w:tr>
      <w:tr w:rsidR="00B42516" w:rsidTr="006B3F3D">
        <w:trPr>
          <w:trHeight w:val="71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 xml:space="preserve">一、　群落　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 xml:space="preserve">规模    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(10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分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16" w:rsidRDefault="00B42516" w:rsidP="006B3F3D">
            <w:pPr>
              <w:autoSpaceDN w:val="0"/>
              <w:spacing w:line="300" w:lineRule="exact"/>
              <w:textAlignment w:val="center"/>
              <w:rPr>
                <w:rFonts w:ascii="楷体_GB2312" w:eastAsia="楷体_GB2312" w:hAnsi="楷体_GB2312" w:hint="eastAsia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面积S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（亩）：</w:t>
            </w:r>
          </w:p>
          <w:p w:rsidR="00B42516" w:rsidRDefault="00B42516" w:rsidP="006B3F3D">
            <w:pPr>
              <w:autoSpaceDN w:val="0"/>
              <w:spacing w:line="300" w:lineRule="exact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较大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大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一般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：15亩≤S＜30亩，或25株≤N＜45株；　　　　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较大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：30亩≤S＜45亩，或45株≤N＜65株；　　　　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大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：S≥45亩，或N≥65株</w:t>
            </w:r>
          </w:p>
        </w:tc>
      </w:tr>
      <w:tr w:rsidR="00B42516" w:rsidTr="006B3F3D">
        <w:trPr>
          <w:trHeight w:val="84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古树总数N（株）：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6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 xml:space="preserve">分 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8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 xml:space="preserve">分  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10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 xml:space="preserve">分   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474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 xml:space="preserve">二、　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生态</w:t>
            </w: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价值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(30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分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主要乔木树种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组成(15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分）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树种组成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  <w:p w:rsidR="00B42516" w:rsidRDefault="00B42516" w:rsidP="006B3F3D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树种组成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用十分比表述，如：7马（尾松）3木（荷）；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0"/>
                <w:szCs w:val="20"/>
              </w:rPr>
              <w:t>树种名称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列出主要乔木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树种中株数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最多的前3种；            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珍贵树种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是指国家、省级重点保护名录中的树种；           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古树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是指主要乔木树种中树龄100年以上的树木         </w:t>
            </w:r>
          </w:p>
        </w:tc>
      </w:tr>
      <w:tr w:rsidR="00B42516" w:rsidTr="006B3F3D">
        <w:trPr>
          <w:trHeight w:val="51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树种名称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49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0"/>
                <w:szCs w:val="24"/>
              </w:rPr>
              <w:t>其中</w:t>
            </w:r>
            <w:r>
              <w:rPr>
                <w:rFonts w:ascii="仿宋_GB2312" w:eastAsia="仿宋_GB2312" w:hAnsi="仿宋_GB2312"/>
                <w:b/>
                <w:color w:val="000000"/>
                <w:sz w:val="20"/>
                <w:szCs w:val="24"/>
              </w:rPr>
              <w:t>古树数量（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0"/>
                <w:szCs w:val="24"/>
              </w:rPr>
              <w:t>株</w:t>
            </w:r>
            <w:r>
              <w:rPr>
                <w:rFonts w:ascii="仿宋_GB2312" w:eastAsia="仿宋_GB2312" w:hAnsi="仿宋_GB2312"/>
                <w:b/>
                <w:color w:val="000000"/>
                <w:sz w:val="20"/>
                <w:szCs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48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是否属珍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贵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树种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47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古树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平均胸径（cm）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46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古树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最大胸径（cm）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53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hint="eastAsia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0"/>
                <w:szCs w:val="24"/>
              </w:rPr>
              <w:t>古树树种丰富度（10分）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1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2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3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种及以上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根据群落中古树的树种数量评分</w:t>
            </w:r>
          </w:p>
        </w:tc>
      </w:tr>
      <w:tr w:rsidR="00B42516" w:rsidTr="006B3F3D">
        <w:trPr>
          <w:trHeight w:val="51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hint="eastAsia"/>
                <w:b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6分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8分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10分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</w:p>
        </w:tc>
      </w:tr>
      <w:tr w:rsidR="00B42516" w:rsidTr="006B3F3D">
        <w:trPr>
          <w:trHeight w:val="54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hint="eastAsia"/>
                <w:b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0"/>
                <w:szCs w:val="24"/>
              </w:rPr>
              <w:t>古树珍贵树种数量（5分）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1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2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3</w:t>
            </w: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种及以上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根据群落中古树树种属国家、省级重点保护名录中的树种数量评分</w:t>
            </w:r>
          </w:p>
        </w:tc>
      </w:tr>
      <w:tr w:rsidR="00B42516" w:rsidTr="006B3F3D">
        <w:trPr>
          <w:trHeight w:val="62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3分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4分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5分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94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生长状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况                            （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10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很好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一般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：树木有缺素症状，叶色淡绿或发黄，有濒死木或枯死木，有病虫害发生；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很好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：树木长势旺盛，叶色浓绿，无任何病虫害；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  <w:t>好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：介于一般与很好之间</w:t>
            </w:r>
          </w:p>
        </w:tc>
      </w:tr>
      <w:tr w:rsidR="00B42516" w:rsidTr="006B3F3D">
        <w:trPr>
          <w:trHeight w:val="90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6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8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10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58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hint="eastAsia"/>
                <w:b/>
                <w:sz w:val="20"/>
                <w:szCs w:val="24"/>
              </w:rPr>
              <w:t>林分</w:t>
            </w:r>
            <w:r>
              <w:rPr>
                <w:rFonts w:ascii="楷体_GB2312" w:eastAsia="楷体_GB2312" w:hAnsi="楷体_GB2312"/>
                <w:b/>
                <w:sz w:val="20"/>
                <w:szCs w:val="24"/>
              </w:rPr>
              <w:t xml:space="preserve">结构稳定性                      </w:t>
            </w:r>
            <w:r>
              <w:rPr>
                <w:rFonts w:ascii="楷体_GB2312" w:eastAsia="楷体_GB2312" w:hAnsi="楷体_GB2312"/>
                <w:b/>
                <w:sz w:val="20"/>
                <w:szCs w:val="24"/>
              </w:rPr>
              <w:lastRenderedPageBreak/>
              <w:t>（</w:t>
            </w:r>
            <w:r>
              <w:rPr>
                <w:rFonts w:ascii="楷体_GB2312" w:eastAsia="楷体_GB2312" w:hAnsi="楷体_GB2312" w:hint="eastAsia"/>
                <w:b/>
                <w:sz w:val="20"/>
                <w:szCs w:val="24"/>
              </w:rPr>
              <w:t>5</w:t>
            </w:r>
            <w:r>
              <w:rPr>
                <w:rFonts w:ascii="楷体_GB2312" w:eastAsia="楷体_GB2312" w:hAnsi="楷体_GB2312"/>
                <w:b/>
                <w:sz w:val="20"/>
                <w:szCs w:val="24"/>
              </w:rPr>
              <w:t>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lastRenderedPageBreak/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较稳定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很稳定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根据群落的林型、树种结构、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lastRenderedPageBreak/>
              <w:t>空间结构和年龄结构等进行评价</w:t>
            </w:r>
          </w:p>
        </w:tc>
      </w:tr>
      <w:tr w:rsidR="00B42516" w:rsidTr="006B3F3D">
        <w:trPr>
          <w:trHeight w:val="77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3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4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5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66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lastRenderedPageBreak/>
              <w:t xml:space="preserve">三、　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景观</w:t>
            </w: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0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价值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(30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分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）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典型性                               （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5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很强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根据古树群的植被类型具有的地域代表性强弱来划分</w:t>
            </w:r>
          </w:p>
        </w:tc>
      </w:tr>
      <w:tr w:rsidR="00B42516" w:rsidTr="006B3F3D">
        <w:trPr>
          <w:trHeight w:val="60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3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4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5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67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观赏性                               （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20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很强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 xml:space="preserve">主要根据古树群的罕见度、壮观度、天然性、季相变化、景观效果等来划分 </w:t>
            </w:r>
          </w:p>
        </w:tc>
      </w:tr>
      <w:tr w:rsidR="00B42516" w:rsidTr="006B3F3D">
        <w:trPr>
          <w:trHeight w:val="77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10分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15分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20分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66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协调性                            （5分）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很高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指背景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或周围环境、建筑等与古树群景观是否协调（包括环境卫生等）</w:t>
            </w:r>
          </w:p>
        </w:tc>
      </w:tr>
      <w:tr w:rsidR="00B42516" w:rsidTr="006B3F3D">
        <w:trPr>
          <w:trHeight w:val="67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3分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4分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5分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85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四、　人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文</w:t>
            </w:r>
          </w:p>
          <w:p w:rsidR="00B42516" w:rsidRDefault="00B42516" w:rsidP="006B3F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价值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(20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分）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历史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文化内涵                           （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0"/>
                <w:szCs w:val="24"/>
              </w:rPr>
              <w:t>2</w:t>
            </w:r>
            <w:r>
              <w:rPr>
                <w:rFonts w:ascii="楷体_GB2312" w:eastAsia="楷体_GB2312" w:hAnsi="楷体_GB2312"/>
                <w:b/>
                <w:color w:val="000000"/>
                <w:sz w:val="20"/>
                <w:szCs w:val="24"/>
              </w:rPr>
              <w:t>0分）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丰富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很丰富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根据古树群在形成过程中的历史事件、历史人物活动及历史传说等的有无及多少，古树群周边的建筑是否属于保护文物、名胜古迹、古建筑或代表性建筑等进行评价</w:t>
            </w:r>
          </w:p>
        </w:tc>
      </w:tr>
      <w:tr w:rsidR="00B42516" w:rsidTr="006B3F3D">
        <w:trPr>
          <w:trHeight w:val="96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16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18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20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71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五、</w:t>
            </w: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科学</w:t>
            </w: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价值(10分)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楷体_GB2312" w:eastAsia="楷体_GB2312" w:hAnsi="楷体_GB2312"/>
                <w:b/>
                <w:color w:val="000000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4"/>
              </w:rPr>
              <w:t>科研和科普价值（10分）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/>
                <w:b/>
                <w:color w:val="000000"/>
                <w:sz w:val="20"/>
                <w:szCs w:val="24"/>
              </w:rPr>
              <w:t>很高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0"/>
                <w:szCs w:val="20"/>
              </w:rPr>
              <w:t>根据古树群的代表性、典型性、多样性、新奇性以及历史文化内涵等评价其科研价值和科普价值</w:t>
            </w:r>
          </w:p>
        </w:tc>
      </w:tr>
      <w:tr w:rsidR="00B42516" w:rsidTr="006B3F3D">
        <w:trPr>
          <w:trHeight w:val="695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6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8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4"/>
              </w:rPr>
              <w:t>10</w:t>
            </w:r>
            <w:r>
              <w:rPr>
                <w:rFonts w:ascii="仿宋_GB2312" w:eastAsia="仿宋_GB2312" w:hAnsi="仿宋_GB2312"/>
                <w:color w:val="000000"/>
                <w:sz w:val="20"/>
                <w:szCs w:val="24"/>
              </w:rPr>
              <w:t>分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sz w:val="20"/>
                <w:szCs w:val="20"/>
              </w:rPr>
            </w:pPr>
          </w:p>
        </w:tc>
      </w:tr>
      <w:tr w:rsidR="00B42516" w:rsidTr="006B3F3D">
        <w:trPr>
          <w:trHeight w:val="702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0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总体</w:t>
            </w:r>
          </w:p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0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评价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(勾选）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差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一般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好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0"/>
                <w:szCs w:val="24"/>
              </w:rPr>
              <w:t>很好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合计得分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260" w:lineRule="exact"/>
              <w:jc w:val="left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sz w:val="20"/>
                <w:szCs w:val="20"/>
              </w:rPr>
              <w:t>按照以上标准和得分进行综合评价</w:t>
            </w:r>
          </w:p>
        </w:tc>
      </w:tr>
      <w:tr w:rsidR="00B42516" w:rsidTr="006B3F3D">
        <w:trPr>
          <w:trHeight w:val="825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B42516" w:rsidTr="006B3F3D">
        <w:trPr>
          <w:trHeight w:val="579"/>
          <w:jc w:val="center"/>
        </w:trPr>
        <w:tc>
          <w:tcPr>
            <w:tcW w:w="936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spacing w:line="300" w:lineRule="exact"/>
              <w:textAlignment w:val="center"/>
              <w:rPr>
                <w:rFonts w:ascii="黑体" w:eastAsia="黑体" w:hAnsi="黑体" w:hint="eastAsia"/>
                <w:b/>
                <w:color w:val="000000"/>
                <w:sz w:val="20"/>
              </w:rPr>
            </w:pP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>调查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>、评分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 xml:space="preserve">人员：   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 xml:space="preserve">　　　　　　　　　　　　　　　　　　　　　　　　　　</w:t>
            </w:r>
          </w:p>
          <w:p w:rsidR="00B42516" w:rsidRDefault="00B42516" w:rsidP="006B3F3D">
            <w:pPr>
              <w:autoSpaceDN w:val="0"/>
              <w:spacing w:line="30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 xml:space="preserve">　　　　　　　　　　　　　　　　　　　　　　　　　　　　　　　　　</w:t>
            </w:r>
            <w:r>
              <w:rPr>
                <w:rFonts w:ascii="黑体" w:eastAsia="黑体" w:hAnsi="黑体"/>
                <w:b/>
                <w:color w:val="000000"/>
                <w:sz w:val="20"/>
                <w:szCs w:val="24"/>
              </w:rPr>
              <w:t xml:space="preserve">日期：                 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  <w:szCs w:val="24"/>
              </w:rPr>
              <w:t xml:space="preserve">　　　　　　　　　　　　　　　　　　　　　　　</w:t>
            </w:r>
          </w:p>
        </w:tc>
      </w:tr>
      <w:tr w:rsidR="00B42516" w:rsidTr="006B3F3D">
        <w:trPr>
          <w:trHeight w:val="777"/>
          <w:jc w:val="center"/>
        </w:trPr>
        <w:tc>
          <w:tcPr>
            <w:tcW w:w="936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516" w:rsidRDefault="00B42516" w:rsidP="006B3F3D"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 w:rsidR="002E78E3" w:rsidRDefault="00B42516" w:rsidP="00B42516">
      <w:pPr>
        <w:spacing w:line="420" w:lineRule="exact"/>
        <w:jc w:val="left"/>
        <w:textAlignment w:val="baseline"/>
      </w:pP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备注：1.“古树群序号”编法按所在地级市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名称首拼字母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加两位阿拉伯数字，如南平，编为：NP01、NP02…；2.“数据库中编号”指古树群在全省古树名木数据库中的编号，未建档入库的留空；3.前5名的每片古树群汇总表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填报省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绿化</w:t>
      </w:r>
    </w:p>
    <w:sectPr w:rsidR="002E78E3" w:rsidSect="00B42516">
      <w:footerReference w:type="default" r:id="rId4"/>
      <w:pgSz w:w="11906" w:h="16838"/>
      <w:pgMar w:top="1848" w:right="1588" w:bottom="1962" w:left="1474" w:header="851" w:footer="1418" w:gutter="0"/>
      <w:cols w:space="720"/>
      <w:docGrid w:type="linesAndChars" w:linePitch="289" w:charSpace="-18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4BC7">
    <w:pPr>
      <w:pStyle w:val="a4"/>
      <w:tabs>
        <w:tab w:val="clear" w:pos="8306"/>
        <w:tab w:val="right" w:pos="8820"/>
      </w:tabs>
      <w:ind w:rightChars="100" w:right="210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000000" w:rsidRDefault="00244BC7">
                <w:pPr>
                  <w:pStyle w:val="a4"/>
                  <w:tabs>
                    <w:tab w:val="clear" w:pos="8306"/>
                    <w:tab w:val="right" w:pos="8820"/>
                  </w:tabs>
                  <w:ind w:rightChars="100" w:right="210"/>
                  <w:jc w:val="right"/>
                </w:pP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B42516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01"/>
  <w:drawingGridVerticalSpacing w:val="289"/>
  <w:displayHorizontalDrawingGridEvery w:val="0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42516"/>
    <w:rsid w:val="00244BC7"/>
    <w:rsid w:val="002E78E3"/>
    <w:rsid w:val="00B4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42516"/>
    <w:rPr>
      <w:rFonts w:eastAsia="宋体"/>
      <w:sz w:val="21"/>
      <w:szCs w:val="20"/>
    </w:rPr>
  </w:style>
  <w:style w:type="paragraph" w:styleId="a4">
    <w:name w:val="footer"/>
    <w:basedOn w:val="a"/>
    <w:next w:val="a"/>
    <w:link w:val="Char"/>
    <w:rsid w:val="00B4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4251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B425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>微软中国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2021-08-20T07:49:00Z</dcterms:created>
  <dcterms:modified xsi:type="dcterms:W3CDTF">2021-08-20T07:51:00Z</dcterms:modified>
</cp:coreProperties>
</file>